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5CC" w:rsidRPr="003F75CC" w:rsidRDefault="003F75CC" w:rsidP="003F75CC">
      <w:pPr>
        <w:shd w:val="clear" w:color="auto" w:fill="FFFFFF"/>
        <w:tabs>
          <w:tab w:val="left" w:pos="1134"/>
        </w:tabs>
        <w:autoSpaceDE w:val="0"/>
        <w:autoSpaceDN w:val="0"/>
        <w:adjustRightInd w:val="0"/>
        <w:spacing w:after="0" w:line="240" w:lineRule="auto"/>
        <w:contextualSpacing/>
        <w:jc w:val="center"/>
        <w:rPr>
          <w:rFonts w:ascii="Times New Roman" w:eastAsia="Times New Roman" w:hAnsi="Times New Roman" w:cs="Times New Roman"/>
          <w:noProof/>
          <w:color w:val="000000"/>
          <w:sz w:val="28"/>
          <w:szCs w:val="28"/>
          <w:lang w:val="kk-KZ" w:eastAsia="ru-RU"/>
        </w:rPr>
      </w:pPr>
      <w:r w:rsidRPr="003F75CC">
        <w:rPr>
          <w:rFonts w:ascii="Times New Roman" w:eastAsia="Times New Roman" w:hAnsi="Times New Roman" w:cs="Times New Roman"/>
          <w:bCs/>
          <w:iCs/>
          <w:noProof/>
          <w:color w:val="000000"/>
          <w:sz w:val="28"/>
          <w:szCs w:val="28"/>
          <w:lang w:val="kk-KZ" w:eastAsia="ru-RU"/>
        </w:rPr>
        <w:t xml:space="preserve">6  </w:t>
      </w:r>
      <w:r w:rsidRPr="003F75CC">
        <w:rPr>
          <w:rFonts w:ascii="Times New Roman" w:eastAsia="Times New Roman" w:hAnsi="Times New Roman" w:cs="Times New Roman"/>
          <w:noProof/>
          <w:color w:val="000000"/>
          <w:sz w:val="28"/>
          <w:szCs w:val="28"/>
          <w:lang w:val="kk-KZ" w:eastAsia="ru-RU"/>
        </w:rPr>
        <w:t xml:space="preserve">КОРПОРАЦИЯ ТАБЫСЫНЫҢ ҚАЛЫПТАСУЫ, </w:t>
      </w:r>
    </w:p>
    <w:p w:rsidR="003F75CC" w:rsidRPr="003F75CC" w:rsidRDefault="003F75CC" w:rsidP="003F75CC">
      <w:pPr>
        <w:shd w:val="clear" w:color="auto" w:fill="FFFFFF"/>
        <w:tabs>
          <w:tab w:val="left" w:pos="1134"/>
        </w:tabs>
        <w:autoSpaceDE w:val="0"/>
        <w:autoSpaceDN w:val="0"/>
        <w:adjustRightInd w:val="0"/>
        <w:spacing w:after="0" w:line="240" w:lineRule="auto"/>
        <w:contextualSpacing/>
        <w:jc w:val="center"/>
        <w:rPr>
          <w:rFonts w:ascii="Times New Roman" w:eastAsia="Times New Roman" w:hAnsi="Times New Roman" w:cs="Times New Roman"/>
          <w:bCs/>
          <w:iCs/>
          <w:noProof/>
          <w:color w:val="000000"/>
          <w:sz w:val="28"/>
          <w:szCs w:val="28"/>
          <w:lang w:val="kk-KZ" w:eastAsia="ru-RU"/>
        </w:rPr>
      </w:pPr>
      <w:r w:rsidRPr="003F75CC">
        <w:rPr>
          <w:rFonts w:ascii="Times New Roman" w:eastAsia="Times New Roman" w:hAnsi="Times New Roman" w:cs="Times New Roman"/>
          <w:noProof/>
          <w:color w:val="000000"/>
          <w:sz w:val="28"/>
          <w:szCs w:val="28"/>
          <w:lang w:val="kk-KZ" w:eastAsia="ru-RU"/>
        </w:rPr>
        <w:t>БӨЛІНУІ ЖӘНЕ  ПАЙДАЛАНУ ТИІМДІЛІГІ</w:t>
      </w:r>
    </w:p>
    <w:p w:rsidR="003F75CC" w:rsidRPr="003F75CC" w:rsidRDefault="003F75CC" w:rsidP="003F75CC">
      <w:pPr>
        <w:shd w:val="clear" w:color="auto" w:fill="FFFFFF"/>
        <w:tabs>
          <w:tab w:val="left" w:pos="1134"/>
        </w:tabs>
        <w:autoSpaceDE w:val="0"/>
        <w:autoSpaceDN w:val="0"/>
        <w:adjustRightInd w:val="0"/>
        <w:spacing w:after="0" w:line="240" w:lineRule="auto"/>
        <w:ind w:firstLine="709"/>
        <w:contextualSpacing/>
        <w:jc w:val="center"/>
        <w:rPr>
          <w:rFonts w:ascii="Times New Roman" w:eastAsia="Times New Roman" w:hAnsi="Times New Roman" w:cs="Times New Roman"/>
          <w:bCs/>
          <w:iCs/>
          <w:noProof/>
          <w:color w:val="000000"/>
          <w:sz w:val="28"/>
          <w:szCs w:val="28"/>
          <w:lang w:val="kk-KZ" w:eastAsia="ru-RU"/>
        </w:rPr>
      </w:pPr>
      <w:r w:rsidRPr="003F75CC">
        <w:rPr>
          <w:rFonts w:ascii="Times New Roman" w:eastAsia="Times New Roman" w:hAnsi="Times New Roman" w:cs="Times New Roman"/>
          <w:bCs/>
          <w:iCs/>
          <w:noProof/>
          <w:color w:val="000000"/>
          <w:sz w:val="28"/>
          <w:szCs w:val="28"/>
          <w:lang w:val="kk-KZ" w:eastAsia="ru-RU"/>
        </w:rPr>
        <w:t xml:space="preserve"> </w:t>
      </w:r>
    </w:p>
    <w:p w:rsidR="003F75CC" w:rsidRPr="003F75CC" w:rsidRDefault="003F75CC" w:rsidP="003F75CC">
      <w:pPr>
        <w:shd w:val="clear" w:color="auto" w:fill="FFFFFF"/>
        <w:tabs>
          <w:tab w:val="left" w:pos="720"/>
        </w:tabs>
        <w:spacing w:after="0" w:line="240" w:lineRule="auto"/>
        <w:ind w:firstLine="720"/>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 xml:space="preserve">Нарықтық экономика жағдайында қызмет етуінің экономикалық пайдалылығы табыс табумен анықталады. Табыс табу кез </w:t>
      </w:r>
      <w:r w:rsidRPr="003F75CC">
        <w:rPr>
          <w:rFonts w:ascii="Times New Roman" w:eastAsia="Times New Roman" w:hAnsi="Times New Roman" w:cs="Times New Roman"/>
          <w:noProof/>
          <w:spacing w:val="-1"/>
          <w:sz w:val="28"/>
          <w:szCs w:val="28"/>
          <w:lang w:val="kk-KZ" w:eastAsia="ru-RU"/>
        </w:rPr>
        <w:t xml:space="preserve">келген кәсіпорынның қызмет етуінің мақсаты болып қалыптасты, ал нарықтық экономика кәсіпорынның негізгі </w:t>
      </w:r>
      <w:r w:rsidRPr="003F75CC">
        <w:rPr>
          <w:rFonts w:ascii="Times New Roman" w:eastAsia="Times New Roman" w:hAnsi="Times New Roman" w:cs="Times New Roman"/>
          <w:noProof/>
          <w:sz w:val="28"/>
          <w:szCs w:val="28"/>
          <w:lang w:val="kk-KZ" w:eastAsia="ru-RU"/>
        </w:rPr>
        <w:t xml:space="preserve">өндірістік және әлеуметтік дамуының көзі болып табылады. </w:t>
      </w:r>
      <w:r w:rsidRPr="003F75CC">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59264" behindDoc="0" locked="0" layoutInCell="0" allowOverlap="1">
                <wp:simplePos x="0" y="0"/>
                <wp:positionH relativeFrom="margin">
                  <wp:posOffset>9424670</wp:posOffset>
                </wp:positionH>
                <wp:positionV relativeFrom="paragraph">
                  <wp:posOffset>506095</wp:posOffset>
                </wp:positionV>
                <wp:extent cx="0" cy="484505"/>
                <wp:effectExtent l="10160" t="10795" r="8890"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45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3A06DB"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1pt,39.85pt" to="742.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" o:allowincell="f" strokeweight=".25pt">
                <w10:wrap anchorx="margin"/>
              </v:line>
            </w:pict>
          </mc:Fallback>
        </mc:AlternateContent>
      </w:r>
      <w:r w:rsidRPr="003F75CC">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0288" behindDoc="0" locked="0" layoutInCell="0" allowOverlap="1">
                <wp:simplePos x="0" y="0"/>
                <wp:positionH relativeFrom="margin">
                  <wp:posOffset>9430385</wp:posOffset>
                </wp:positionH>
                <wp:positionV relativeFrom="paragraph">
                  <wp:posOffset>-545465</wp:posOffset>
                </wp:positionV>
                <wp:extent cx="0" cy="7141210"/>
                <wp:effectExtent l="6350" t="6985" r="12700" b="508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121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C31071"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55pt,-42.95pt" to="742.55pt,5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" o:allowincell="f" strokeweight=".7pt">
                <w10:wrap anchorx="margin"/>
              </v:line>
            </w:pict>
          </mc:Fallback>
        </mc:AlternateContent>
      </w:r>
      <w:r w:rsidRPr="003F75CC">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1312" behindDoc="0" locked="0" layoutInCell="0" allowOverlap="1">
                <wp:simplePos x="0" y="0"/>
                <wp:positionH relativeFrom="margin">
                  <wp:posOffset>9442450</wp:posOffset>
                </wp:positionH>
                <wp:positionV relativeFrom="paragraph">
                  <wp:posOffset>2200910</wp:posOffset>
                </wp:positionV>
                <wp:extent cx="0" cy="3651250"/>
                <wp:effectExtent l="8890" t="10160" r="10160" b="57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12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B23710"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5pt,173.3pt" to="743.5pt,46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" o:allowincell="f" strokeweight=".25pt">
                <w10:wrap anchorx="margin"/>
              </v:line>
            </w:pict>
          </mc:Fallback>
        </mc:AlternateContent>
      </w:r>
      <w:r w:rsidRPr="003F75CC">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2336" behindDoc="0" locked="0" layoutInCell="0" allowOverlap="1">
                <wp:simplePos x="0" y="0"/>
                <wp:positionH relativeFrom="margin">
                  <wp:posOffset>9445625</wp:posOffset>
                </wp:positionH>
                <wp:positionV relativeFrom="paragraph">
                  <wp:posOffset>2584450</wp:posOffset>
                </wp:positionV>
                <wp:extent cx="0" cy="4075430"/>
                <wp:effectExtent l="12065" t="12700" r="6985"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754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4C41D9" id="Прямая соединительная линия 1"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75pt,203.5pt" to="743.75pt,5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" o:allowincell="f" strokeweight=".25pt">
                <w10:wrap anchorx="margin"/>
              </v:line>
            </w:pict>
          </mc:Fallback>
        </mc:AlternateContent>
      </w:r>
      <w:r w:rsidRPr="003F75CC">
        <w:rPr>
          <w:rFonts w:ascii="Times New Roman" w:eastAsia="Times New Roman" w:hAnsi="Times New Roman" w:cs="Times New Roman"/>
          <w:noProof/>
          <w:sz w:val="28"/>
          <w:szCs w:val="28"/>
          <w:lang w:val="kk-KZ" w:eastAsia="ru-RU"/>
        </w:rPr>
        <w:t>Табыс есебінен, сондай-ақ кәсіпорынның бюджет алдындағы, банктер мен басқа да кәсіпорындар, ұйымдар алдындағы міндеттемелері орындалады. Сонымен, табыс кәсіпорынның өндірістік және қаржылық қызметін бағалаудағы негізгі көрсеткіші болып табылады.</w:t>
      </w:r>
    </w:p>
    <w:p w:rsidR="003F75CC" w:rsidRPr="003F75CC" w:rsidRDefault="003F75CC" w:rsidP="003F75CC">
      <w:p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Операциялық қызмет – заңды тұлғаның кіріс алатын негізгі қызметі инвестициялық және қаржы қызметіне жатпайтын өзге де қызметі. Аталмыш кәсіпорын осы қызметті жүзеге асыру мақсатында құрылады.</w:t>
      </w:r>
    </w:p>
    <w:p w:rsidR="003F75CC" w:rsidRPr="003F75CC" w:rsidRDefault="003F75CC" w:rsidP="003F75CC">
      <w:p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Инвестициялық қызмет – ұзақ мерзімді актив сатып алу және сату, сондай-ақ өтелетін қарыз беру және алу жөніндегі қызмет.</w:t>
      </w:r>
    </w:p>
    <w:p w:rsidR="003F75CC" w:rsidRPr="003F75CC" w:rsidRDefault="003F75CC" w:rsidP="003F75CC">
      <w:p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Қаржы қызметі – заңды тұлғаның нәтижесінде меншікті капиталдың және қарыз қаражатының мөлшері мен құрамы өзгеретін қызмет.</w:t>
      </w:r>
    </w:p>
    <w:p w:rsidR="003F75CC" w:rsidRPr="003F75CC" w:rsidRDefault="003F75CC" w:rsidP="003F75CC">
      <w:p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Кәсіпорын қызметінің қаржы нәтижесін талдауға мына негізгі міндет жүктеледі:</w:t>
      </w:r>
    </w:p>
    <w:p w:rsidR="003F75CC" w:rsidRPr="003F75CC" w:rsidRDefault="003F75CC" w:rsidP="003F75CC">
      <w:pPr>
        <w:numPr>
          <w:ilvl w:val="0"/>
          <w:numId w:val="1"/>
        </w:num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кірістілік көрсеткішінің серпінін, оның нақты мөлшерінің негізді пайда болуын және бөлінуін бағалау;</w:t>
      </w:r>
    </w:p>
    <w:p w:rsidR="003F75CC" w:rsidRPr="003F75CC" w:rsidRDefault="003F75CC" w:rsidP="003F75CC">
      <w:pPr>
        <w:numPr>
          <w:ilvl w:val="0"/>
          <w:numId w:val="1"/>
        </w:num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кіріске түрлі факторлардың жасайтын әсерін анықтау және оның іс-әрекетін өзгерту;</w:t>
      </w:r>
    </w:p>
    <w:p w:rsidR="003F75CC" w:rsidRPr="003F75CC" w:rsidRDefault="003F75CC" w:rsidP="003F75CC">
      <w:pPr>
        <w:numPr>
          <w:ilvl w:val="0"/>
          <w:numId w:val="1"/>
        </w:numPr>
        <w:tabs>
          <w:tab w:val="left" w:pos="1134"/>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өндіріс көлемін және шығынды оңтайландыру негізінде кірістіліктің одан әрі өсуінің ықтимал резервін бағалау.</w:t>
      </w:r>
    </w:p>
    <w:p w:rsidR="003F75CC" w:rsidRPr="003F75CC" w:rsidRDefault="003F75CC" w:rsidP="003F75CC">
      <w:pPr>
        <w:tabs>
          <w:tab w:val="left" w:pos="1134"/>
          <w:tab w:val="left" w:pos="2100"/>
        </w:tabs>
        <w:spacing w:after="0" w:line="240" w:lineRule="auto"/>
        <w:ind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Кіріс және шығыс жөніндегі есепке келесі көрсеткіштер кіреді:</w:t>
      </w:r>
    </w:p>
    <w:p w:rsidR="003F75CC" w:rsidRPr="003F75CC" w:rsidRDefault="003F75CC" w:rsidP="003F75CC">
      <w:pPr>
        <w:numPr>
          <w:ilvl w:val="0"/>
          <w:numId w:val="2"/>
        </w:numPr>
        <w:tabs>
          <w:tab w:val="left" w:pos="1134"/>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дайын өнімді сатудан алынатын кіріс қосылған құн салығы, акцизбен т.б. салық және міндетті төлем, сондай-ақ қайтарылған тауардың құны, сатудан берілген жеңілдік пен сатып алушыға берілген бағадан жеңілдік құны шегеріліп көрсетіледі;</w:t>
      </w:r>
    </w:p>
    <w:p w:rsidR="003F75CC" w:rsidRPr="003F75CC" w:rsidRDefault="003F75CC" w:rsidP="003F75CC">
      <w:pPr>
        <w:numPr>
          <w:ilvl w:val="0"/>
          <w:numId w:val="2"/>
        </w:numPr>
        <w:tabs>
          <w:tab w:val="left" w:pos="1134"/>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сатылған дайын өнімнің өзіндік құнына өнімді өндірумен тікелей байланысты нақты шығын кіреді. Нақты шығын өзінің экономикалық маңызына сәйкес материалдық шығын, еңбекақыға жұмсалатын шығын, сақтандыруға аударым, негізгі құрал-жабдықтың тозуы, өзге де шығын сияқты элемент бойынша топтастырылады;</w:t>
      </w:r>
    </w:p>
    <w:p w:rsidR="003F75CC" w:rsidRPr="003F75CC" w:rsidRDefault="003F75CC" w:rsidP="003F75CC">
      <w:pPr>
        <w:numPr>
          <w:ilvl w:val="0"/>
          <w:numId w:val="2"/>
        </w:numPr>
        <w:tabs>
          <w:tab w:val="left" w:pos="1134"/>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жалпы кіріс дайын өнімді сатудан алынатын қаржы нәтижесін білдіреді және негізгі  қызмет нәтижесінде дайын өнімді сатудан алынатын кіріс пен сатылған дайын өнімнің өзіндік құны арасындағы айырма ретінде анықталады;</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bookmarkStart w:id="0" w:name="_GoBack"/>
      <w:r w:rsidRPr="003F75CC">
        <w:rPr>
          <w:rFonts w:ascii="Times New Roman" w:eastAsia="Times New Roman" w:hAnsi="Times New Roman" w:cs="Times New Roman"/>
          <w:noProof/>
          <w:sz w:val="28"/>
          <w:szCs w:val="28"/>
          <w:lang w:val="kk-KZ" w:eastAsia="ru-RU"/>
        </w:rPr>
        <w:t>кезең шығыны:</w:t>
      </w:r>
    </w:p>
    <w:p w:rsidR="003F75CC" w:rsidRPr="003F75CC" w:rsidRDefault="003F75CC" w:rsidP="003F75CC">
      <w:pPr>
        <w:numPr>
          <w:ilvl w:val="0"/>
          <w:numId w:val="3"/>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жалпы және әкімшілік шығыс;</w:t>
      </w:r>
    </w:p>
    <w:p w:rsidR="003F75CC" w:rsidRPr="003F75CC" w:rsidRDefault="003F75CC" w:rsidP="003F75CC">
      <w:pPr>
        <w:numPr>
          <w:ilvl w:val="0"/>
          <w:numId w:val="3"/>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сатуға жұмсалған шығыс;</w:t>
      </w:r>
    </w:p>
    <w:p w:rsidR="003F75CC" w:rsidRPr="003F75CC" w:rsidRDefault="003F75CC" w:rsidP="003F75CC">
      <w:pPr>
        <w:numPr>
          <w:ilvl w:val="0"/>
          <w:numId w:val="3"/>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сыйақы төлеуге жұмсалған шығыс.</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lastRenderedPageBreak/>
        <w:t>негізгі қызметтен алынатын кіріс деген сальдоланған қаржы нәтижесі және жалпы кіріс пен кезең шығыны арасындағы айырма ретінде анықталады;</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негізгі емес қызметтен алынатын кіріс. Осы бап бойынша негізгі емес қызметтің сальдоланған қаржы нәтижесі  көрсетіледі. Негізгі емес қызметтен пайда болатын кіріс – бұл айналымдағы емес активті беру, биржада айналыстағы бағалы қағазды қайта бағалау және т.б.;</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бағдылы қызметтен салық салынғанға дейінгі кіріс. Аталмыш көрсеткіш дағдылы қызметтен салық салынғанға дейін алынатын сальдоланған қаржы нәтижесін көрсетеді;</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табыс салығы;</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дағдылы қызметтен салық салынғаннан кейін алынатын кіріс;</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төтенше жағдайдан алынатын кіріс. Аталмыш көрсеткіш төтенше жағдайдың сальдоланған нәтижесінен табыс салығы шегеріліп көрсетіледі. Төтенше жағдайға ұйымның қалыпты қызметінен ерекшеленетін оқиға немесе операция жатады. Осындай оқиға мен операцияның жиі немесе үнемі қайталанады деп қарастырылмайды;</w:t>
      </w:r>
    </w:p>
    <w:p w:rsidR="003F75CC" w:rsidRPr="003F75CC" w:rsidRDefault="003F75CC" w:rsidP="003F75CC">
      <w:pPr>
        <w:numPr>
          <w:ilvl w:val="0"/>
          <w:numId w:val="2"/>
        </w:numPr>
        <w:tabs>
          <w:tab w:val="left" w:pos="2100"/>
        </w:tabs>
        <w:spacing w:after="0" w:line="240" w:lineRule="auto"/>
        <w:ind w:left="0" w:firstLine="709"/>
        <w:jc w:val="both"/>
        <w:rPr>
          <w:rFonts w:ascii="Times New Roman" w:eastAsia="Times New Roman" w:hAnsi="Times New Roman" w:cs="Times New Roman"/>
          <w:noProof/>
          <w:sz w:val="28"/>
          <w:szCs w:val="28"/>
          <w:lang w:val="kk-KZ" w:eastAsia="ru-RU"/>
        </w:rPr>
      </w:pPr>
      <w:r w:rsidRPr="003F75CC">
        <w:rPr>
          <w:rFonts w:ascii="Times New Roman" w:eastAsia="Times New Roman" w:hAnsi="Times New Roman" w:cs="Times New Roman"/>
          <w:noProof/>
          <w:sz w:val="28"/>
          <w:szCs w:val="28"/>
          <w:lang w:val="kk-KZ" w:eastAsia="ru-RU"/>
        </w:rPr>
        <w:t xml:space="preserve"> таза кіріс заңды тұлға есепті кезеңде алған сальдоланған нәтижені білдіреді.</w:t>
      </w:r>
    </w:p>
    <w:p w:rsidR="003F75CC" w:rsidRPr="003F75CC" w:rsidRDefault="003F75CC" w:rsidP="003F75CC">
      <w:pPr>
        <w:spacing w:after="0" w:line="240" w:lineRule="auto"/>
        <w:ind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Таза пайда (кіріс) - бұл салық салынғаннан кейінгі пайда, ол ұйымның одан әрі өсу және кісіпорынның меншік иесі кіріс алатын көз.Таза кіріс кәсіпорынның иесінің толық иелігінде болады, сонымен бірге инвестициялық қызметті мемлекеттік реттеу, қаржы нарығында бос ақшалай қаражатты пайдалану, сондай-ақ жеке тұлғаның мүлкіне, кірісіне салық салу және т.б бөлігінде қаржыны осылай басқарады. Кәсіпорын иелігінде қалатын таза кіріс меншік иелерінің шешімі бойынша бөлінеді.</w:t>
      </w:r>
    </w:p>
    <w:p w:rsidR="003F75CC" w:rsidRPr="003F75CC" w:rsidRDefault="003F75CC" w:rsidP="003F75CC">
      <w:pPr>
        <w:spacing w:after="0" w:line="240" w:lineRule="auto"/>
        <w:ind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Кәсіпорынның иелігіндегі қалатын таза кіріс мыналарға бөлінеді:</w:t>
      </w:r>
    </w:p>
    <w:p w:rsidR="003F75CC" w:rsidRPr="003F75CC" w:rsidRDefault="003F75CC" w:rsidP="003F75CC">
      <w:pPr>
        <w:spacing w:after="0" w:line="240" w:lineRule="auto"/>
        <w:ind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1) резервтік қорларға;</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АҚ резерв қоры;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кепілдік қорлары;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сақтандыру қорлары;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жөндеу қорлары;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өзге.</w:t>
      </w:r>
    </w:p>
    <w:p w:rsidR="003F75CC" w:rsidRPr="003F75CC" w:rsidRDefault="003F75CC" w:rsidP="003F75CC">
      <w:pPr>
        <w:spacing w:after="0" w:line="240" w:lineRule="auto"/>
        <w:ind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 xml:space="preserve"> 2) жинақтау қорына:</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негізгі қорларға;</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айналым активтерге;</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әлеуметтік салаға;</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қаржы салымдары;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қайырымдылық жарналары;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өзге.</w:t>
      </w:r>
    </w:p>
    <w:p w:rsidR="003F75CC" w:rsidRPr="003F75CC" w:rsidRDefault="003F75CC" w:rsidP="003F75CC">
      <w:pPr>
        <w:spacing w:after="0" w:line="240" w:lineRule="auto"/>
        <w:ind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3) тұтыну қорлары;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сыйақы төлеу қоры;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әлеуметтік саланы ұстау қоры;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тамақты арзандату қоры;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lastRenderedPageBreak/>
        <w:t>қызметкерлерге арналған несие қоры;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зейнетақы қоры;</w:t>
      </w:r>
    </w:p>
    <w:p w:rsidR="003F75CC" w:rsidRPr="003F75CC" w:rsidRDefault="003F75CC" w:rsidP="003F75CC">
      <w:pPr>
        <w:numPr>
          <w:ilvl w:val="0"/>
          <w:numId w:val="4"/>
        </w:numPr>
        <w:spacing w:after="0" w:line="240" w:lineRule="auto"/>
        <w:ind w:left="0" w:firstLine="709"/>
        <w:jc w:val="both"/>
        <w:rPr>
          <w:rFonts w:ascii="Times New Roman" w:eastAsia="Times New Roman" w:hAnsi="Times New Roman" w:cs="Times New Roman"/>
          <w:sz w:val="28"/>
          <w:szCs w:val="28"/>
          <w:lang w:val="kk-KZ" w:eastAsia="ru-RU"/>
        </w:rPr>
      </w:pPr>
      <w:r w:rsidRPr="003F75CC">
        <w:rPr>
          <w:rFonts w:ascii="Times New Roman" w:eastAsia="Times New Roman" w:hAnsi="Times New Roman" w:cs="Times New Roman"/>
          <w:sz w:val="28"/>
          <w:szCs w:val="28"/>
          <w:lang w:val="kk-KZ" w:eastAsia="ru-RU"/>
        </w:rPr>
        <w:t>өзге де көздерген бөлінеді.</w:t>
      </w:r>
    </w:p>
    <w:bookmarkEnd w:id="0"/>
    <w:p w:rsidR="00267B30" w:rsidRDefault="00267B30" w:rsidP="003F75CC"/>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5D3C1580"/>
    <w:multiLevelType w:val="hybridMultilevel"/>
    <w:tmpl w:val="6BF61A06"/>
    <w:lvl w:ilvl="0" w:tplc="72F224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6ADD7E3C"/>
    <w:multiLevelType w:val="hybridMultilevel"/>
    <w:tmpl w:val="36106A9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6CAC56C8"/>
    <w:multiLevelType w:val="hybridMultilevel"/>
    <w:tmpl w:val="EC1C8EFE"/>
    <w:lvl w:ilvl="0" w:tplc="A06255F8">
      <w:start w:val="1"/>
      <w:numFmt w:val="bullet"/>
      <w:lvlText w:val=""/>
      <w:lvlJc w:val="left"/>
      <w:pPr>
        <w:ind w:left="1860" w:hanging="360"/>
      </w:pPr>
      <w:rPr>
        <w:rFonts w:ascii="Symbol" w:hAnsi="Symbol" w:hint="default"/>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num w:numId="1">
    <w:abstractNumId w:val="2"/>
  </w:num>
  <w:num w:numId="2">
    <w:abstractNumId w:val="1"/>
  </w:num>
  <w:num w:numId="3">
    <w:abstractNumId w:val="3"/>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5CC"/>
    <w:rsid w:val="00267B30"/>
    <w:rsid w:val="003F75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862613-7DB0-45C9-92BA-9F32723D4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633</Words>
  <Characters>3609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2024-02-02T06:03:00Z</dcterms:created>
  <dcterms:modified xsi:type="dcterms:W3CDTF">2024-02-02T06:04:00Z</dcterms:modified>
</cp:coreProperties>
</file>